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F4" w:rsidRPr="00F429FB" w:rsidRDefault="007937F4" w:rsidP="007A5696">
      <w:pPr>
        <w:pStyle w:val="Default"/>
        <w:ind w:left="1410" w:hanging="1410"/>
        <w:rPr>
          <w:color w:val="auto"/>
          <w:sz w:val="20"/>
          <w:szCs w:val="20"/>
        </w:rPr>
      </w:pPr>
      <w:r w:rsidRPr="00C43221">
        <w:rPr>
          <w:b/>
          <w:color w:val="auto"/>
          <w:sz w:val="20"/>
          <w:szCs w:val="20"/>
        </w:rPr>
        <w:t xml:space="preserve">Bijlage </w:t>
      </w:r>
      <w:r>
        <w:rPr>
          <w:b/>
          <w:color w:val="auto"/>
          <w:sz w:val="20"/>
          <w:szCs w:val="20"/>
        </w:rPr>
        <w:t>2</w:t>
      </w:r>
      <w:r w:rsidRPr="00C43221">
        <w:rPr>
          <w:b/>
          <w:color w:val="auto"/>
          <w:sz w:val="20"/>
          <w:szCs w:val="20"/>
        </w:rPr>
        <w:tab/>
      </w:r>
      <w:r w:rsidRPr="00C43221">
        <w:rPr>
          <w:b/>
          <w:color w:val="auto"/>
          <w:sz w:val="20"/>
          <w:szCs w:val="20"/>
        </w:rPr>
        <w:tab/>
      </w:r>
      <w:r>
        <w:rPr>
          <w:b/>
          <w:color w:val="auto"/>
          <w:sz w:val="20"/>
          <w:szCs w:val="20"/>
        </w:rPr>
        <w:t>F</w:t>
      </w:r>
      <w:r w:rsidRPr="00C43221">
        <w:rPr>
          <w:b/>
          <w:color w:val="auto"/>
          <w:sz w:val="20"/>
          <w:szCs w:val="20"/>
        </w:rPr>
        <w:t>eed</w:t>
      </w:r>
      <w:r>
        <w:rPr>
          <w:b/>
          <w:color w:val="auto"/>
          <w:sz w:val="20"/>
          <w:szCs w:val="20"/>
        </w:rPr>
        <w:t>-forward</w:t>
      </w:r>
      <w:r w:rsidRPr="00C43221">
        <w:rPr>
          <w:b/>
          <w:color w:val="auto"/>
          <w:sz w:val="20"/>
          <w:szCs w:val="20"/>
        </w:rPr>
        <w:t xml:space="preserve"> op lesontwerp</w:t>
      </w:r>
      <w:r>
        <w:rPr>
          <w:b/>
          <w:color w:val="auto"/>
          <w:sz w:val="20"/>
          <w:szCs w:val="20"/>
        </w:rPr>
        <w:t xml:space="preserve"> en toelichting </w:t>
      </w:r>
      <w:r>
        <w:rPr>
          <w:b/>
          <w:color w:val="auto"/>
          <w:sz w:val="20"/>
          <w:szCs w:val="20"/>
        </w:rPr>
        <w:tab/>
      </w:r>
      <w:r>
        <w:rPr>
          <w:b/>
          <w:color w:val="auto"/>
          <w:sz w:val="20"/>
          <w:szCs w:val="20"/>
        </w:rPr>
        <w:tab/>
      </w:r>
      <w:r>
        <w:rPr>
          <w:b/>
          <w:color w:val="auto"/>
          <w:sz w:val="20"/>
          <w:szCs w:val="20"/>
        </w:rPr>
        <w:br/>
      </w:r>
      <w:r w:rsidRPr="00F429FB">
        <w:rPr>
          <w:color w:val="auto"/>
          <w:sz w:val="20"/>
          <w:szCs w:val="20"/>
        </w:rPr>
        <w:t>(</w:t>
      </w:r>
      <w:r>
        <w:rPr>
          <w:color w:val="auto"/>
          <w:sz w:val="20"/>
          <w:szCs w:val="20"/>
        </w:rPr>
        <w:t>domeinexperts</w:t>
      </w:r>
      <w:r w:rsidRPr="00F429FB">
        <w:rPr>
          <w:color w:val="auto"/>
          <w:sz w:val="20"/>
          <w:szCs w:val="20"/>
        </w:rPr>
        <w:t xml:space="preserve"> – stap </w:t>
      </w:r>
      <w:r>
        <w:rPr>
          <w:color w:val="auto"/>
          <w:sz w:val="20"/>
          <w:szCs w:val="20"/>
        </w:rPr>
        <w:t>-</w:t>
      </w:r>
      <w:r w:rsidRPr="00F429FB">
        <w:rPr>
          <w:color w:val="auto"/>
          <w:sz w:val="20"/>
          <w:szCs w:val="20"/>
        </w:rPr>
        <w:t>)</w:t>
      </w:r>
    </w:p>
    <w:p w:rsidR="007937F4" w:rsidRPr="00F429FB" w:rsidRDefault="007937F4" w:rsidP="007A5696">
      <w:pPr>
        <w:pStyle w:val="Default"/>
        <w:ind w:left="1410" w:hanging="1410"/>
        <w:rPr>
          <w:color w:val="auto"/>
          <w:sz w:val="20"/>
          <w:szCs w:val="20"/>
        </w:rPr>
      </w:pPr>
    </w:p>
    <w:p w:rsidR="007937F4" w:rsidRDefault="007937F4" w:rsidP="007A5696">
      <w:pPr>
        <w:pStyle w:val="Default"/>
        <w:ind w:left="1410" w:hanging="1410"/>
        <w:rPr>
          <w:b/>
          <w:color w:val="auto"/>
          <w:sz w:val="20"/>
          <w:szCs w:val="20"/>
        </w:rPr>
      </w:pPr>
    </w:p>
    <w:p w:rsidR="007937F4" w:rsidRPr="003E5695" w:rsidRDefault="007937F4" w:rsidP="007A5696">
      <w:pPr>
        <w:pStyle w:val="Default"/>
        <w:ind w:left="1410" w:hanging="1410"/>
        <w:rPr>
          <w:color w:val="auto"/>
          <w:sz w:val="20"/>
          <w:szCs w:val="20"/>
        </w:rPr>
      </w:pPr>
      <w:r>
        <w:rPr>
          <w:color w:val="auto"/>
          <w:sz w:val="20"/>
          <w:szCs w:val="20"/>
        </w:rPr>
        <w:t>Vak:Rekenen Wiskunde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3E5695">
        <w:rPr>
          <w:color w:val="auto"/>
          <w:sz w:val="20"/>
          <w:szCs w:val="20"/>
        </w:rPr>
        <w:t>Vakdocent</w:t>
      </w:r>
      <w:r>
        <w:rPr>
          <w:color w:val="auto"/>
          <w:sz w:val="20"/>
          <w:szCs w:val="20"/>
        </w:rPr>
        <w:t>: Peter smedts</w:t>
      </w:r>
    </w:p>
    <w:p w:rsidR="007937F4" w:rsidRDefault="007937F4" w:rsidP="007A5696">
      <w:pPr>
        <w:rPr>
          <w:rFonts w:ascii="Arial" w:hAnsi="Arial" w:cs="Arial"/>
          <w:sz w:val="20"/>
          <w:szCs w:val="20"/>
        </w:rPr>
      </w:pPr>
      <w:r>
        <w:rPr>
          <w:rFonts w:ascii="Arial" w:hAnsi="Arial" w:cs="Arial"/>
          <w:sz w:val="20"/>
          <w:szCs w:val="20"/>
        </w:rPr>
        <w:t>Naam student:  Deeltijd (Dilia)</w:t>
      </w:r>
    </w:p>
    <w:p w:rsidR="007937F4" w:rsidRPr="00A5468C" w:rsidRDefault="007937F4" w:rsidP="007A5696">
      <w:pPr>
        <w:rPr>
          <w:rFonts w:ascii="Arial" w:hAnsi="Arial" w:cs="Arial"/>
          <w:sz w:val="20"/>
          <w:szCs w:val="20"/>
        </w:rPr>
      </w:pPr>
      <w:r w:rsidRPr="00A5468C">
        <w:rPr>
          <w:rFonts w:ascii="Arial" w:hAnsi="Arial" w:cs="Arial"/>
          <w:sz w:val="20"/>
          <w:szCs w:val="20"/>
        </w:rPr>
        <w:t>Groep:</w:t>
      </w:r>
      <w:r w:rsidRPr="00A5468C">
        <w:rPr>
          <w:rFonts w:ascii="Arial" w:hAnsi="Arial" w:cs="Arial"/>
          <w:sz w:val="20"/>
          <w:szCs w:val="20"/>
        </w:rPr>
        <w:tab/>
      </w:r>
      <w:r>
        <w:rPr>
          <w:rFonts w:ascii="Arial" w:hAnsi="Arial" w:cs="Arial"/>
          <w:sz w:val="20"/>
          <w:szCs w:val="20"/>
        </w:rPr>
        <w:t>DT</w:t>
      </w:r>
      <w:r w:rsidRPr="00A5468C">
        <w:rPr>
          <w:rFonts w:ascii="Arial" w:hAnsi="Arial" w:cs="Arial"/>
          <w:sz w:val="20"/>
          <w:szCs w:val="20"/>
        </w:rPr>
        <w:tab/>
        <w:t>Datum feed-forward: maart 2015</w:t>
      </w:r>
    </w:p>
    <w:p w:rsidR="007937F4" w:rsidRPr="00A5468C" w:rsidRDefault="007937F4" w:rsidP="007A5696">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111"/>
      </w:tblGrid>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 xml:space="preserve">Beste student </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Hierbij de belangrijkste feedback die in de verschillende groepen naar voren is gekomen</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Bij de de deeltijd was dit het ontwerp van Dilia</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Peter</w:t>
            </w:r>
          </w:p>
        </w:tc>
        <w:tc>
          <w:tcPr>
            <w:tcW w:w="4111" w:type="dxa"/>
          </w:tcPr>
          <w:p w:rsidR="007937F4" w:rsidRPr="00A26CEC" w:rsidRDefault="007937F4" w:rsidP="00A26CEC">
            <w:pPr>
              <w:spacing w:after="0" w:line="240" w:lineRule="auto"/>
              <w:rPr>
                <w:rFonts w:ascii="Arial" w:hAnsi="Arial" w:cs="Arial"/>
                <w:sz w:val="20"/>
                <w:szCs w:val="20"/>
              </w:rPr>
            </w:pP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Kennis over (kinderen in) de groep is nadrukkelijk verwerkt in de omschrijving van de beginsituatie van de groep, zowel in pedagogische zin (gedrag, groepsverhoudingen, groepsdynamiek) als in didactische zin (vakspecifieke beginsituatie).</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Breng ook de vakspecifieke criteria in beeld.</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Welk onderdeel van meten en meetkunde ga je behandelen en hoe zit die leerlijn dan in elkaar.</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Maak in ieder geval gebruik van Tule en Kerninzichten hoofdstuk 9 en 10</w:t>
            </w:r>
          </w:p>
        </w:tc>
        <w:bookmarkStart w:id="0" w:name="_GoBack"/>
        <w:bookmarkEnd w:id="0"/>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De lesdoelen zijn afgestemd op de beginsituatie. In de formulering ervan wordt zichtbaar dat je kennis van vakdidactiek en leerlijnen op een logische manier verwerkt.</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Vakspecifieke doelen duidelijk naar voren laten komen. Wat wil ik de leerlingen laten leren rondom meten of meetkunde</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Bij meten denk aan de les: lammetjes en liniaal Bij meetkunde zijn we een les gestart rondom het bouwen van huisjes. Welke doelen horen hierbij</w:t>
            </w: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Werk- en groeperingsvormen zijn afgestemd op specifieke kenmerken van de groep én op specifieke kenmerken van vakdidactiek.</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Coöperatieve werkvormen kunnen inderdaad gebruikt worden om interactie en sociale context te bevorderen.</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Sluit aan bij de werkwijze van de school</w:t>
            </w: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Werk- en groeperingsvormen zijn functioneel ondersteunend bij het behalen van de lesdoelen.</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Werken in viertallen volgens een vast stramien is prima</w:t>
            </w: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Samenwerkend leren krijgt logisch plek in het lesontwerp.*</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Aanwezig</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Coöperatieve werkvorm of werken in viertallen</w:t>
            </w: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De proces- en productdoelen worden expliciet geëvalueerd met de kinderen.</w:t>
            </w:r>
          </w:p>
          <w:p w:rsidR="007937F4" w:rsidRPr="00A26CEC" w:rsidRDefault="007937F4" w:rsidP="00A26CEC">
            <w:pPr>
              <w:spacing w:after="0" w:line="240" w:lineRule="auto"/>
              <w:rPr>
                <w:rFonts w:ascii="Arial" w:hAnsi="Arial" w:cs="Arial"/>
                <w:sz w:val="20"/>
                <w:szCs w:val="20"/>
              </w:rPr>
            </w:pP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Zorg dat je in afsluiting aangeeft hoe je dit gaat doen</w:t>
            </w:r>
          </w:p>
        </w:tc>
      </w:tr>
      <w:tr w:rsidR="007937F4" w:rsidRPr="00A26CEC" w:rsidTr="00A26CEC">
        <w:tc>
          <w:tcPr>
            <w:tcW w:w="52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 xml:space="preserve">De werkvormen die worden gehanteerd bij evaluatie  zijn passend bij vakdidactiek en sluiten aan op specifieke kenmerken van de groep </w:t>
            </w:r>
          </w:p>
        </w:tc>
        <w:tc>
          <w:tcPr>
            <w:tcW w:w="4111" w:type="dxa"/>
          </w:tcPr>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Je kunt hier zoals we gezien hebben alsnog gebruik maken van een werkvorm waarin kinderen met elkaar uitwisselen.</w:t>
            </w:r>
          </w:p>
        </w:tc>
      </w:tr>
    </w:tbl>
    <w:p w:rsidR="007937F4" w:rsidRPr="006E0BB4" w:rsidRDefault="007937F4" w:rsidP="007A5696">
      <w:pPr>
        <w:rPr>
          <w:rFonts w:ascii="Arial" w:hAnsi="Arial" w:cs="Arial"/>
          <w:sz w:val="16"/>
          <w:szCs w:val="16"/>
        </w:rPr>
      </w:pPr>
      <w:r>
        <w:rPr>
          <w:rFonts w:ascii="Arial" w:hAnsi="Arial" w:cs="Arial"/>
          <w:sz w:val="16"/>
          <w:szCs w:val="16"/>
        </w:rPr>
        <w:t>*Van belang bij tenminste 1 lesontwerp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937F4" w:rsidRPr="00A26CEC" w:rsidTr="00A26CEC">
        <w:tc>
          <w:tcPr>
            <w:tcW w:w="9322" w:type="dxa"/>
          </w:tcPr>
          <w:p w:rsidR="007937F4" w:rsidRPr="00A26CEC" w:rsidRDefault="007937F4" w:rsidP="00A26CEC">
            <w:pPr>
              <w:spacing w:after="0" w:line="240" w:lineRule="auto"/>
              <w:rPr>
                <w:rFonts w:ascii="Arial" w:hAnsi="Arial" w:cs="Arial"/>
                <w:i/>
                <w:sz w:val="20"/>
                <w:szCs w:val="20"/>
              </w:rPr>
            </w:pPr>
            <w:r w:rsidRPr="00A26CEC">
              <w:rPr>
                <w:rFonts w:ascii="Arial" w:hAnsi="Arial" w:cs="Arial"/>
                <w:i/>
                <w:sz w:val="20"/>
                <w:szCs w:val="20"/>
              </w:rPr>
              <w:t>Opmerkingen</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Kijk kritisch naar de lesopbouw:</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pStyle w:val="ListParagraph"/>
              <w:numPr>
                <w:ilvl w:val="0"/>
                <w:numId w:val="2"/>
              </w:numPr>
              <w:spacing w:after="0" w:line="240" w:lineRule="auto"/>
              <w:rPr>
                <w:rFonts w:ascii="Arial" w:hAnsi="Arial" w:cs="Arial"/>
                <w:sz w:val="20"/>
                <w:szCs w:val="20"/>
              </w:rPr>
            </w:pPr>
            <w:r w:rsidRPr="00A26CEC">
              <w:rPr>
                <w:rFonts w:ascii="Arial" w:hAnsi="Arial" w:cs="Arial"/>
                <w:sz w:val="20"/>
                <w:szCs w:val="20"/>
              </w:rPr>
              <w:t xml:space="preserve">Inleiding </w:t>
            </w:r>
          </w:p>
          <w:p w:rsidR="007937F4" w:rsidRPr="00A26CEC" w:rsidRDefault="007937F4" w:rsidP="00A26CEC">
            <w:pPr>
              <w:pStyle w:val="ListParagraph"/>
              <w:numPr>
                <w:ilvl w:val="0"/>
                <w:numId w:val="2"/>
              </w:numPr>
              <w:spacing w:after="0" w:line="240" w:lineRule="auto"/>
              <w:rPr>
                <w:rFonts w:ascii="Arial" w:hAnsi="Arial" w:cs="Arial"/>
                <w:sz w:val="20"/>
                <w:szCs w:val="20"/>
              </w:rPr>
            </w:pPr>
            <w:r w:rsidRPr="00A26CEC">
              <w:rPr>
                <w:rFonts w:ascii="Arial" w:hAnsi="Arial" w:cs="Arial"/>
                <w:sz w:val="20"/>
                <w:szCs w:val="20"/>
              </w:rPr>
              <w:t>Kern</w:t>
            </w:r>
          </w:p>
          <w:p w:rsidR="007937F4" w:rsidRPr="00A26CEC" w:rsidRDefault="007937F4" w:rsidP="00A26CEC">
            <w:pPr>
              <w:pStyle w:val="ListParagraph"/>
              <w:numPr>
                <w:ilvl w:val="0"/>
                <w:numId w:val="2"/>
              </w:numPr>
              <w:spacing w:after="0" w:line="240" w:lineRule="auto"/>
              <w:rPr>
                <w:rFonts w:ascii="Arial" w:hAnsi="Arial" w:cs="Arial"/>
                <w:sz w:val="20"/>
                <w:szCs w:val="20"/>
              </w:rPr>
            </w:pPr>
            <w:r w:rsidRPr="00A26CEC">
              <w:rPr>
                <w:rFonts w:ascii="Arial" w:hAnsi="Arial" w:cs="Arial"/>
                <w:sz w:val="20"/>
                <w:szCs w:val="20"/>
              </w:rPr>
              <w:t>Afsluiting</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Wat komt er op de verschillende momenten in de les aan bod.</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Maak gebruik van de artikelen in Natschool en het boek Kerninzichten.</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De principes van de reconstructiedidactiek worden besproken in hoofdstuk 11 Kerninzichten bladzijde 259-263</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Je moet een v</w:t>
            </w:r>
            <w:r w:rsidRPr="00A26CEC">
              <w:rPr>
                <w:rFonts w:ascii="Arial" w:hAnsi="Arial" w:cs="Arial"/>
                <w:b/>
                <w:sz w:val="20"/>
                <w:szCs w:val="20"/>
              </w:rPr>
              <w:t>erantwoording</w:t>
            </w:r>
            <w:r w:rsidRPr="00A26CEC">
              <w:rPr>
                <w:rFonts w:ascii="Arial" w:hAnsi="Arial" w:cs="Arial"/>
                <w:sz w:val="20"/>
                <w:szCs w:val="20"/>
              </w:rPr>
              <w:t xml:space="preserve"> schrijven bij je les</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Mogelijke werkwijze</w:t>
            </w: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Je vertelt wat je vanuit de OGP opdracht gaat aanpakken.</w:t>
            </w: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Je geeft aan wat je zelf echt zou willen leren (persoonlijk leerdoel.)</w:t>
            </w: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Je geeft aan welke theorie (boek en of artikel) je gelezen hebt. Gebruik ook materialen uit de lessen.</w:t>
            </w: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Realistisch rekenen staat centraal dus je schrijft hierover (kerninzichten hoofdstuk 11 zie ook artikelen in Natschool verplichte en niet verplichte artikelen)</w:t>
            </w:r>
          </w:p>
          <w:p w:rsidR="007937F4" w:rsidRPr="00A26CEC" w:rsidRDefault="007937F4" w:rsidP="00A26CEC">
            <w:pPr>
              <w:pStyle w:val="ListParagraph"/>
              <w:spacing w:after="0" w:line="240" w:lineRule="auto"/>
              <w:rPr>
                <w:rFonts w:ascii="Arial" w:hAnsi="Arial" w:cs="Arial"/>
                <w:sz w:val="20"/>
                <w:szCs w:val="20"/>
              </w:rPr>
            </w:pPr>
            <w:r w:rsidRPr="00A26CEC">
              <w:rPr>
                <w:rFonts w:ascii="Arial" w:hAnsi="Arial" w:cs="Arial"/>
                <w:sz w:val="20"/>
                <w:szCs w:val="20"/>
              </w:rPr>
              <w:t>Vertel welke uitgangspunten bij jou centraal staan. Je kunt kiezen uit:</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Construeren en concretiseren </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Niveaus en modellen (model)</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Reflectie en eigen productie </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Structuren en verstrengelen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Sociale context en interactie </w:t>
            </w: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Beschrijf welke keuze je maakt voor de praktijk</w:t>
            </w:r>
          </w:p>
          <w:p w:rsidR="007937F4" w:rsidRPr="00A26CEC" w:rsidRDefault="007937F4" w:rsidP="00A26CEC">
            <w:pPr>
              <w:pStyle w:val="ListParagraph"/>
              <w:spacing w:after="0" w:line="240" w:lineRule="auto"/>
              <w:rPr>
                <w:rFonts w:ascii="Arial" w:hAnsi="Arial" w:cs="Arial"/>
                <w:sz w:val="20"/>
                <w:szCs w:val="20"/>
              </w:rPr>
            </w:pP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 xml:space="preserve">Naast het realistisch rekenen staan meten of meetkunde centraal. Beschrijf het kerninzicht waarmee je in deze les aan de slag bent gegaan. </w:t>
            </w: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ab/>
              <w:t xml:space="preserve">De kerninzichten bij meetkunde zijn </w:t>
            </w:r>
          </w:p>
          <w:p w:rsidR="007937F4" w:rsidRPr="00A26CEC" w:rsidRDefault="007937F4" w:rsidP="00A26CEC">
            <w:pPr>
              <w:pStyle w:val="ListParagraph"/>
              <w:spacing w:after="0" w:line="240" w:lineRule="auto"/>
              <w:rPr>
                <w:rFonts w:ascii="Arial" w:hAnsi="Arial" w:cs="Arial"/>
                <w:sz w:val="20"/>
                <w:szCs w:val="20"/>
              </w:rPr>
            </w:pP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 Plaats bepalen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 Meetkundige eigenschappen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 Perspectief en viseerlijnen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 xml:space="preserve"> Schuiven, spiegelen en roteren</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r w:rsidRPr="00A26CEC">
              <w:rPr>
                <w:rFonts w:ascii="Arial" w:hAnsi="Arial" w:cs="Arial"/>
                <w:sz w:val="20"/>
                <w:szCs w:val="20"/>
              </w:rPr>
              <w:t>De kerninzchten bij meten zijn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Je grootheden kunt kwantificeren om situaties in de omgeving te beschrijven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Het effectief is om standaardmaten te gebruiken</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Verfijning van meten leidt tot nauwkeurigheid</w:t>
            </w:r>
          </w:p>
          <w:p w:rsidR="007937F4" w:rsidRPr="00A26CEC" w:rsidRDefault="007937F4" w:rsidP="00A26CEC">
            <w:pPr>
              <w:pStyle w:val="ListParagraph"/>
              <w:numPr>
                <w:ilvl w:val="1"/>
                <w:numId w:val="1"/>
              </w:numPr>
              <w:spacing w:after="0" w:line="240" w:lineRule="auto"/>
              <w:rPr>
                <w:rFonts w:ascii="Arial" w:hAnsi="Arial" w:cs="Arial"/>
                <w:sz w:val="20"/>
                <w:szCs w:val="20"/>
              </w:rPr>
            </w:pPr>
            <w:r w:rsidRPr="00A26CEC">
              <w:rPr>
                <w:rFonts w:ascii="Arial" w:hAnsi="Arial" w:cs="Arial"/>
                <w:sz w:val="20"/>
                <w:szCs w:val="20"/>
              </w:rPr>
              <w:t>Relatie tussen metrische maten kunnen worden herleid in machten van 10</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ind w:left="1080"/>
              <w:rPr>
                <w:rFonts w:ascii="Arial" w:hAnsi="Arial" w:cs="Arial"/>
                <w:sz w:val="20"/>
                <w:szCs w:val="20"/>
              </w:rPr>
            </w:pPr>
          </w:p>
          <w:p w:rsidR="007937F4" w:rsidRPr="00A26CEC" w:rsidRDefault="007937F4" w:rsidP="00A26CEC">
            <w:pPr>
              <w:pStyle w:val="ListParagraph"/>
              <w:numPr>
                <w:ilvl w:val="0"/>
                <w:numId w:val="1"/>
              </w:numPr>
              <w:spacing w:after="0" w:line="240" w:lineRule="auto"/>
              <w:rPr>
                <w:rFonts w:ascii="Arial" w:hAnsi="Arial" w:cs="Arial"/>
                <w:sz w:val="20"/>
                <w:szCs w:val="20"/>
              </w:rPr>
            </w:pPr>
            <w:r w:rsidRPr="00A26CEC">
              <w:rPr>
                <w:rFonts w:ascii="Arial" w:hAnsi="Arial" w:cs="Arial"/>
                <w:sz w:val="20"/>
                <w:szCs w:val="20"/>
              </w:rPr>
              <w:t>Wat je in de praktijk gaat doen beschrijf je in het ontwerp van je les en neem bovenstaande criteria mee</w:t>
            </w: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p w:rsidR="007937F4" w:rsidRPr="00A26CEC" w:rsidRDefault="007937F4" w:rsidP="00A26CEC">
            <w:pPr>
              <w:spacing w:after="0" w:line="240" w:lineRule="auto"/>
              <w:rPr>
                <w:rFonts w:ascii="Arial" w:hAnsi="Arial" w:cs="Arial"/>
                <w:sz w:val="20"/>
                <w:szCs w:val="20"/>
              </w:rPr>
            </w:pPr>
          </w:p>
        </w:tc>
      </w:tr>
      <w:tr w:rsidR="007937F4" w:rsidRPr="00A26CEC" w:rsidTr="00A26CEC">
        <w:tc>
          <w:tcPr>
            <w:tcW w:w="9322" w:type="dxa"/>
          </w:tcPr>
          <w:p w:rsidR="007937F4" w:rsidRPr="00A26CEC" w:rsidRDefault="007937F4" w:rsidP="00A26CEC">
            <w:pPr>
              <w:spacing w:after="0" w:line="240" w:lineRule="auto"/>
              <w:rPr>
                <w:rFonts w:ascii="Arial" w:hAnsi="Arial" w:cs="Arial"/>
                <w:i/>
                <w:sz w:val="20"/>
                <w:szCs w:val="20"/>
              </w:rPr>
            </w:pPr>
          </w:p>
        </w:tc>
      </w:tr>
      <w:tr w:rsidR="007937F4" w:rsidRPr="00A26CEC" w:rsidTr="00A26CEC">
        <w:tc>
          <w:tcPr>
            <w:tcW w:w="9322" w:type="dxa"/>
          </w:tcPr>
          <w:p w:rsidR="007937F4" w:rsidRPr="00A26CEC" w:rsidRDefault="007937F4" w:rsidP="00A26CEC">
            <w:pPr>
              <w:spacing w:after="0" w:line="240" w:lineRule="auto"/>
              <w:rPr>
                <w:rFonts w:ascii="Arial" w:hAnsi="Arial" w:cs="Arial"/>
                <w:i/>
                <w:sz w:val="20"/>
                <w:szCs w:val="20"/>
              </w:rPr>
            </w:pPr>
          </w:p>
        </w:tc>
      </w:tr>
      <w:tr w:rsidR="007937F4" w:rsidRPr="00A26CEC" w:rsidTr="00A26CEC">
        <w:tc>
          <w:tcPr>
            <w:tcW w:w="9322" w:type="dxa"/>
          </w:tcPr>
          <w:p w:rsidR="007937F4" w:rsidRPr="00A26CEC" w:rsidRDefault="007937F4" w:rsidP="00A26CEC">
            <w:pPr>
              <w:spacing w:after="0" w:line="240" w:lineRule="auto"/>
              <w:rPr>
                <w:rFonts w:ascii="Arial" w:hAnsi="Arial" w:cs="Arial"/>
                <w:i/>
                <w:sz w:val="20"/>
                <w:szCs w:val="20"/>
              </w:rPr>
            </w:pPr>
            <w:r w:rsidRPr="00A26CEC">
              <w:rPr>
                <w:rFonts w:ascii="Arial" w:hAnsi="Arial" w:cs="Arial"/>
                <w:i/>
                <w:sz w:val="20"/>
                <w:szCs w:val="20"/>
              </w:rPr>
              <w:tab/>
            </w:r>
            <w:r w:rsidRPr="00A26CEC">
              <w:rPr>
                <w:rFonts w:ascii="Arial" w:hAnsi="Arial" w:cs="Arial"/>
                <w:i/>
                <w:sz w:val="20"/>
                <w:szCs w:val="20"/>
              </w:rPr>
              <w:tab/>
            </w:r>
            <w:r w:rsidRPr="00A26CEC">
              <w:rPr>
                <w:rFonts w:ascii="Arial" w:hAnsi="Arial" w:cs="Arial"/>
                <w:i/>
                <w:sz w:val="20"/>
                <w:szCs w:val="20"/>
              </w:rPr>
              <w:tab/>
            </w:r>
          </w:p>
        </w:tc>
      </w:tr>
    </w:tbl>
    <w:p w:rsidR="007937F4" w:rsidRDefault="007937F4" w:rsidP="007A5696">
      <w:pPr>
        <w:rPr>
          <w:rFonts w:ascii="Arial" w:hAnsi="Arial" w:cs="Arial"/>
          <w:sz w:val="20"/>
          <w:szCs w:val="20"/>
        </w:rPr>
      </w:pPr>
    </w:p>
    <w:p w:rsidR="007937F4" w:rsidRPr="007A5696" w:rsidRDefault="007937F4" w:rsidP="007A5696"/>
    <w:sectPr w:rsidR="007937F4" w:rsidRPr="007A5696" w:rsidSect="002A0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C54"/>
    <w:multiLevelType w:val="hybridMultilevel"/>
    <w:tmpl w:val="66C61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F60876"/>
    <w:multiLevelType w:val="hybridMultilevel"/>
    <w:tmpl w:val="A7E6928E"/>
    <w:lvl w:ilvl="0" w:tplc="BC8E125C">
      <w:start w:val="1"/>
      <w:numFmt w:val="decimal"/>
      <w:lvlText w:val="%1."/>
      <w:lvlJc w:val="left"/>
      <w:pPr>
        <w:tabs>
          <w:tab w:val="num" w:pos="720"/>
        </w:tabs>
        <w:ind w:left="720" w:hanging="360"/>
      </w:pPr>
      <w:rPr>
        <w:rFonts w:cs="Times New Roman"/>
      </w:rPr>
    </w:lvl>
    <w:lvl w:ilvl="1" w:tplc="9664E930">
      <w:start w:val="1"/>
      <w:numFmt w:val="decimal"/>
      <w:lvlText w:val="%2."/>
      <w:lvlJc w:val="left"/>
      <w:pPr>
        <w:tabs>
          <w:tab w:val="num" w:pos="1440"/>
        </w:tabs>
        <w:ind w:left="1440" w:hanging="360"/>
      </w:pPr>
      <w:rPr>
        <w:rFonts w:cs="Times New Roman"/>
      </w:rPr>
    </w:lvl>
    <w:lvl w:ilvl="2" w:tplc="75C47754" w:tentative="1">
      <w:start w:val="1"/>
      <w:numFmt w:val="decimal"/>
      <w:lvlText w:val="%3."/>
      <w:lvlJc w:val="left"/>
      <w:pPr>
        <w:tabs>
          <w:tab w:val="num" w:pos="2160"/>
        </w:tabs>
        <w:ind w:left="2160" w:hanging="360"/>
      </w:pPr>
      <w:rPr>
        <w:rFonts w:cs="Times New Roman"/>
      </w:rPr>
    </w:lvl>
    <w:lvl w:ilvl="3" w:tplc="2DF2022E" w:tentative="1">
      <w:start w:val="1"/>
      <w:numFmt w:val="decimal"/>
      <w:lvlText w:val="%4."/>
      <w:lvlJc w:val="left"/>
      <w:pPr>
        <w:tabs>
          <w:tab w:val="num" w:pos="2880"/>
        </w:tabs>
        <w:ind w:left="2880" w:hanging="360"/>
      </w:pPr>
      <w:rPr>
        <w:rFonts w:cs="Times New Roman"/>
      </w:rPr>
    </w:lvl>
    <w:lvl w:ilvl="4" w:tplc="F6DAC692" w:tentative="1">
      <w:start w:val="1"/>
      <w:numFmt w:val="decimal"/>
      <w:lvlText w:val="%5."/>
      <w:lvlJc w:val="left"/>
      <w:pPr>
        <w:tabs>
          <w:tab w:val="num" w:pos="3600"/>
        </w:tabs>
        <w:ind w:left="3600" w:hanging="360"/>
      </w:pPr>
      <w:rPr>
        <w:rFonts w:cs="Times New Roman"/>
      </w:rPr>
    </w:lvl>
    <w:lvl w:ilvl="5" w:tplc="4138934A" w:tentative="1">
      <w:start w:val="1"/>
      <w:numFmt w:val="decimal"/>
      <w:lvlText w:val="%6."/>
      <w:lvlJc w:val="left"/>
      <w:pPr>
        <w:tabs>
          <w:tab w:val="num" w:pos="4320"/>
        </w:tabs>
        <w:ind w:left="4320" w:hanging="360"/>
      </w:pPr>
      <w:rPr>
        <w:rFonts w:cs="Times New Roman"/>
      </w:rPr>
    </w:lvl>
    <w:lvl w:ilvl="6" w:tplc="E54AE3D6" w:tentative="1">
      <w:start w:val="1"/>
      <w:numFmt w:val="decimal"/>
      <w:lvlText w:val="%7."/>
      <w:lvlJc w:val="left"/>
      <w:pPr>
        <w:tabs>
          <w:tab w:val="num" w:pos="5040"/>
        </w:tabs>
        <w:ind w:left="5040" w:hanging="360"/>
      </w:pPr>
      <w:rPr>
        <w:rFonts w:cs="Times New Roman"/>
      </w:rPr>
    </w:lvl>
    <w:lvl w:ilvl="7" w:tplc="23BC5FC4" w:tentative="1">
      <w:start w:val="1"/>
      <w:numFmt w:val="decimal"/>
      <w:lvlText w:val="%8."/>
      <w:lvlJc w:val="left"/>
      <w:pPr>
        <w:tabs>
          <w:tab w:val="num" w:pos="5760"/>
        </w:tabs>
        <w:ind w:left="5760" w:hanging="360"/>
      </w:pPr>
      <w:rPr>
        <w:rFonts w:cs="Times New Roman"/>
      </w:rPr>
    </w:lvl>
    <w:lvl w:ilvl="8" w:tplc="67104462" w:tentative="1">
      <w:start w:val="1"/>
      <w:numFmt w:val="decimal"/>
      <w:lvlText w:val="%9."/>
      <w:lvlJc w:val="left"/>
      <w:pPr>
        <w:tabs>
          <w:tab w:val="num" w:pos="6480"/>
        </w:tabs>
        <w:ind w:left="6480" w:hanging="360"/>
      </w:pPr>
      <w:rPr>
        <w:rFonts w:cs="Times New Roman"/>
      </w:rPr>
    </w:lvl>
  </w:abstractNum>
  <w:abstractNum w:abstractNumId="2">
    <w:nsid w:val="40C34CEB"/>
    <w:multiLevelType w:val="hybridMultilevel"/>
    <w:tmpl w:val="4702AC04"/>
    <w:lvl w:ilvl="0" w:tplc="DAC08D2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266755"/>
    <w:multiLevelType w:val="hybridMultilevel"/>
    <w:tmpl w:val="D758C61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BEF"/>
    <w:rsid w:val="00002400"/>
    <w:rsid w:val="000C77E0"/>
    <w:rsid w:val="00281303"/>
    <w:rsid w:val="002A0438"/>
    <w:rsid w:val="00355963"/>
    <w:rsid w:val="003E5695"/>
    <w:rsid w:val="005701CB"/>
    <w:rsid w:val="0062217D"/>
    <w:rsid w:val="006C5FBB"/>
    <w:rsid w:val="006E0BB4"/>
    <w:rsid w:val="007937F4"/>
    <w:rsid w:val="007A5696"/>
    <w:rsid w:val="007E61CC"/>
    <w:rsid w:val="009B79B0"/>
    <w:rsid w:val="009D6BEF"/>
    <w:rsid w:val="00A05C95"/>
    <w:rsid w:val="00A26CEC"/>
    <w:rsid w:val="00A5468C"/>
    <w:rsid w:val="00A86F03"/>
    <w:rsid w:val="00C43221"/>
    <w:rsid w:val="00C72E22"/>
    <w:rsid w:val="00D12ABA"/>
    <w:rsid w:val="00D57803"/>
    <w:rsid w:val="00EB36E6"/>
    <w:rsid w:val="00F10C00"/>
    <w:rsid w:val="00F429F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5696"/>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7A5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468C"/>
    <w:pPr>
      <w:ind w:left="720"/>
      <w:contextualSpacing/>
    </w:pPr>
  </w:style>
</w:styles>
</file>

<file path=word/webSettings.xml><?xml version="1.0" encoding="utf-8"?>
<w:webSettings xmlns:r="http://schemas.openxmlformats.org/officeDocument/2006/relationships" xmlns:w="http://schemas.openxmlformats.org/wordprocessingml/2006/main">
  <w:divs>
    <w:div w:id="791704450">
      <w:marLeft w:val="0"/>
      <w:marRight w:val="0"/>
      <w:marTop w:val="0"/>
      <w:marBottom w:val="0"/>
      <w:divBdr>
        <w:top w:val="none" w:sz="0" w:space="0" w:color="auto"/>
        <w:left w:val="none" w:sz="0" w:space="0" w:color="auto"/>
        <w:bottom w:val="none" w:sz="0" w:space="0" w:color="auto"/>
        <w:right w:val="none" w:sz="0" w:space="0" w:color="auto"/>
      </w:divBdr>
      <w:divsChild>
        <w:div w:id="791704451">
          <w:marLeft w:val="1166"/>
          <w:marRight w:val="0"/>
          <w:marTop w:val="154"/>
          <w:marBottom w:val="0"/>
          <w:divBdr>
            <w:top w:val="none" w:sz="0" w:space="0" w:color="auto"/>
            <w:left w:val="none" w:sz="0" w:space="0" w:color="auto"/>
            <w:bottom w:val="none" w:sz="0" w:space="0" w:color="auto"/>
            <w:right w:val="none" w:sz="0" w:space="0" w:color="auto"/>
          </w:divBdr>
        </w:div>
        <w:div w:id="791704452">
          <w:marLeft w:val="1166"/>
          <w:marRight w:val="0"/>
          <w:marTop w:val="154"/>
          <w:marBottom w:val="0"/>
          <w:divBdr>
            <w:top w:val="none" w:sz="0" w:space="0" w:color="auto"/>
            <w:left w:val="none" w:sz="0" w:space="0" w:color="auto"/>
            <w:bottom w:val="none" w:sz="0" w:space="0" w:color="auto"/>
            <w:right w:val="none" w:sz="0" w:space="0" w:color="auto"/>
          </w:divBdr>
        </w:div>
        <w:div w:id="791704453">
          <w:marLeft w:val="1166"/>
          <w:marRight w:val="0"/>
          <w:marTop w:val="154"/>
          <w:marBottom w:val="0"/>
          <w:divBdr>
            <w:top w:val="none" w:sz="0" w:space="0" w:color="auto"/>
            <w:left w:val="none" w:sz="0" w:space="0" w:color="auto"/>
            <w:bottom w:val="none" w:sz="0" w:space="0" w:color="auto"/>
            <w:right w:val="none" w:sz="0" w:space="0" w:color="auto"/>
          </w:divBdr>
        </w:div>
        <w:div w:id="791704454">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605</Words>
  <Characters>3328</Characters>
  <Application>Microsoft Office Outlook</Application>
  <DocSecurity>0</DocSecurity>
  <Lines>0</Lines>
  <Paragraphs>0</Paragraphs>
  <ScaleCrop>false</ScaleCrop>
  <Company>Fontys Hogescholen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subject/>
  <dc:creator>Smedts,Peter P.M.M.</dc:creator>
  <cp:keywords/>
  <dc:description/>
  <cp:lastModifiedBy>Gebruiker</cp:lastModifiedBy>
  <cp:revision>2</cp:revision>
  <dcterms:created xsi:type="dcterms:W3CDTF">2015-04-13T16:45:00Z</dcterms:created>
  <dcterms:modified xsi:type="dcterms:W3CDTF">2015-04-13T16:45:00Z</dcterms:modified>
</cp:coreProperties>
</file>